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贵州大学MBA联合会章程</w:t>
      </w:r>
    </w:p>
    <w:p>
      <w:pPr>
        <w:ind w:firstLine="883" w:firstLineChars="200"/>
        <w:jc w:val="center"/>
        <w:rPr>
          <w:rFonts w:ascii="Times New Roman" w:hAnsi="Times New Roman" w:cs="Times New Roman"/>
          <w:b/>
          <w:color w:val="000000" w:themeColor="text1"/>
          <w:sz w:val="44"/>
          <w:szCs w:val="44"/>
          <w14:textFill>
            <w14:solidFill>
              <w14:schemeClr w14:val="tx1"/>
            </w14:solidFill>
          </w14:textFill>
        </w:rPr>
      </w:pPr>
    </w:p>
    <w:p>
      <w:pPr>
        <w:ind w:firstLine="883" w:firstLineChars="200"/>
        <w:jc w:val="center"/>
        <w:rPr>
          <w:rFonts w:ascii="Times New Roman" w:hAnsi="Times New Roman" w:cs="Times New Roman"/>
          <w:b/>
          <w:color w:val="000000" w:themeColor="text1"/>
          <w:sz w:val="44"/>
          <w:szCs w:val="44"/>
          <w14:textFill>
            <w14:solidFill>
              <w14:schemeClr w14:val="tx1"/>
            </w14:solidFill>
          </w14:textFill>
        </w:rPr>
      </w:pPr>
    </w:p>
    <w:sdt>
      <w:sdtPr>
        <w:rPr>
          <w:rFonts w:ascii="Times New Roman" w:hAnsi="Times New Roman" w:cs="Times New Roman" w:eastAsiaTheme="minorEastAsia"/>
          <w:color w:val="000000" w:themeColor="text1"/>
          <w:kern w:val="2"/>
          <w:sz w:val="21"/>
          <w:szCs w:val="24"/>
          <w:lang w:val="zh-CN"/>
          <w14:textFill>
            <w14:solidFill>
              <w14:schemeClr w14:val="tx1"/>
            </w14:solidFill>
          </w14:textFill>
        </w:rPr>
        <w:id w:val="1209912489"/>
      </w:sdtPr>
      <w:sdtEndPr>
        <w:rPr>
          <w:rFonts w:ascii="Times New Roman" w:hAnsi="Times New Roman" w:cs="Times New Roman" w:eastAsiaTheme="minorEastAsia"/>
          <w:b/>
          <w:bCs/>
          <w:color w:val="000000" w:themeColor="text1"/>
          <w:kern w:val="2"/>
          <w:sz w:val="21"/>
          <w:szCs w:val="24"/>
          <w:lang w:val="zh-CN"/>
          <w14:textFill>
            <w14:solidFill>
              <w14:schemeClr w14:val="tx1"/>
            </w14:solidFill>
          </w14:textFill>
        </w:rPr>
      </w:sdtEndPr>
      <w:sdtContent>
        <w:p>
          <w:pPr>
            <w:pStyle w:val="20"/>
            <w:spacing w:before="0" w:line="240" w:lineRule="auto"/>
            <w:jc w:val="center"/>
            <w:rPr>
              <w:rFonts w:ascii="Times New Roman" w:hAnsi="Times New Roman" w:cs="Times New Roman" w:eastAsiaTheme="minorEastAsia"/>
              <w:b/>
              <w:color w:val="000000" w:themeColor="text1"/>
              <w14:textFill>
                <w14:solidFill>
                  <w14:schemeClr w14:val="tx1"/>
                </w14:solidFill>
              </w14:textFill>
            </w:rPr>
          </w:pPr>
          <w:r>
            <w:rPr>
              <w:rFonts w:ascii="Times New Roman" w:hAnsi="Times New Roman" w:cs="Times New Roman" w:eastAsiaTheme="minorEastAsia"/>
              <w:b/>
              <w:color w:val="000000" w:themeColor="text1"/>
              <w:lang w:val="zh-CN"/>
              <w14:textFill>
                <w14:solidFill>
                  <w14:schemeClr w14:val="tx1"/>
                </w14:solidFill>
              </w14:textFill>
            </w:rPr>
            <w:t>目录</w:t>
          </w:r>
        </w:p>
        <w:p>
          <w:pPr>
            <w:pStyle w:val="8"/>
            <w:tabs>
              <w:tab w:val="right" w:leader="dot" w:pos="9060"/>
            </w:tabs>
            <w:rPr>
              <w:rFonts w:ascii="Times New Roman" w:hAnsi="Times New Roman"/>
              <w:color w:val="000000" w:themeColor="text1"/>
              <w:kern w:val="2"/>
              <w:sz w:val="21"/>
              <w14:textFill>
                <w14:solidFill>
                  <w14:schemeClr w14:val="tx1"/>
                </w14:solidFill>
              </w14:textFill>
            </w:rPr>
          </w:pP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TOC \o "1-3" \h \z \u </w:instrText>
          </w:r>
          <w:r>
            <w:rPr>
              <w:rFonts w:ascii="Times New Roman" w:hAnsi="Times New Roman"/>
              <w:color w:val="000000" w:themeColor="text1"/>
              <w14:textFill>
                <w14:solidFill>
                  <w14:schemeClr w14:val="tx1"/>
                </w14:solidFill>
              </w14:textFill>
            </w:rPr>
            <w:fldChar w:fldCharType="separate"/>
          </w:r>
          <w:r>
            <w:fldChar w:fldCharType="begin"/>
          </w:r>
          <w:r>
            <w:instrText xml:space="preserve"> HYPERLINK \l "_Toc488784771" </w:instrText>
          </w:r>
          <w:r>
            <w:fldChar w:fldCharType="separate"/>
          </w:r>
          <w:r>
            <w:rPr>
              <w:rStyle w:val="11"/>
              <w:rFonts w:ascii="Times New Roman" w:hAnsi="Times New Roman"/>
              <w:color w:val="000000" w:themeColor="text1"/>
              <w14:textFill>
                <w14:solidFill>
                  <w14:schemeClr w14:val="tx1"/>
                </w14:solidFill>
              </w14:textFill>
            </w:rPr>
            <w:t>总则</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_Toc488784771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"_Toc488784772" </w:instrText>
          </w:r>
          <w:r>
            <w:fldChar w:fldCharType="separate"/>
          </w:r>
          <w:r>
            <w:rPr>
              <w:rStyle w:val="11"/>
              <w:rFonts w:ascii="Times New Roman" w:hAnsi="Times New Roman"/>
              <w:color w:val="000000" w:themeColor="text1"/>
              <w14:textFill>
                <w14:solidFill>
                  <w14:schemeClr w14:val="tx1"/>
                </w14:solidFill>
              </w14:textFill>
            </w:rPr>
            <w:t>第一章 基本任务</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_Toc488784772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"_Toc488784773" </w:instrText>
          </w:r>
          <w:r>
            <w:fldChar w:fldCharType="separate"/>
          </w:r>
          <w:r>
            <w:rPr>
              <w:rStyle w:val="11"/>
              <w:rFonts w:ascii="Times New Roman" w:hAnsi="Times New Roman"/>
              <w:color w:val="000000" w:themeColor="text1"/>
              <w14:textFill>
                <w14:solidFill>
                  <w14:schemeClr w14:val="tx1"/>
                </w14:solidFill>
              </w14:textFill>
            </w:rPr>
            <w:t>第二章 会员权利和义务</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_Toc488784773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"_Toc488784774" </w:instrText>
          </w:r>
          <w:r>
            <w:fldChar w:fldCharType="separate"/>
          </w:r>
          <w:r>
            <w:rPr>
              <w:rStyle w:val="11"/>
              <w:rFonts w:ascii="Times New Roman" w:hAnsi="Times New Roman"/>
              <w:color w:val="000000" w:themeColor="text1"/>
              <w14:textFill>
                <w14:solidFill>
                  <w14:schemeClr w14:val="tx1"/>
                </w14:solidFill>
              </w14:textFill>
            </w:rPr>
            <w:t>第三章 机构、职能及负责人的产生、罢免</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_Toc488784774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"_Toc488784775" </w:instrText>
          </w:r>
          <w:r>
            <w:fldChar w:fldCharType="separate"/>
          </w:r>
          <w:r>
            <w:rPr>
              <w:rStyle w:val="11"/>
              <w:rFonts w:ascii="Times New Roman" w:hAnsi="Times New Roman"/>
              <w:color w:val="000000" w:themeColor="text1"/>
              <w14:textFill>
                <w14:solidFill>
                  <w14:schemeClr w14:val="tx1"/>
                </w14:solidFill>
              </w14:textFill>
            </w:rPr>
            <w:t>第四章 经费管理</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_Toc488784775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"_Toc488784776" </w:instrText>
          </w:r>
          <w:r>
            <w:fldChar w:fldCharType="separate"/>
          </w:r>
          <w:r>
            <w:rPr>
              <w:rStyle w:val="11"/>
              <w:rFonts w:ascii="Times New Roman" w:hAnsi="Times New Roman"/>
              <w:color w:val="000000" w:themeColor="text1"/>
              <w14:textFill>
                <w14:solidFill>
                  <w14:schemeClr w14:val="tx1"/>
                </w14:solidFill>
              </w14:textFill>
            </w:rPr>
            <w:t>第五章 会标</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_Toc488784776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pStyle w:val="8"/>
            <w:tabs>
              <w:tab w:val="right" w:leader="dot" w:pos="9060"/>
            </w:tabs>
            <w:rPr>
              <w:rFonts w:ascii="Times New Roman" w:hAnsi="Times New Roman"/>
              <w:color w:val="000000" w:themeColor="text1"/>
              <w:kern w:val="2"/>
              <w:sz w:val="21"/>
              <w14:textFill>
                <w14:solidFill>
                  <w14:schemeClr w14:val="tx1"/>
                </w14:solidFill>
              </w14:textFill>
            </w:rPr>
          </w:pPr>
          <w:r>
            <w:fldChar w:fldCharType="begin"/>
          </w:r>
          <w:r>
            <w:instrText xml:space="preserve"> HYPERLINK \l "_Toc488784777" </w:instrText>
          </w:r>
          <w:r>
            <w:fldChar w:fldCharType="separate"/>
          </w:r>
          <w:r>
            <w:rPr>
              <w:rStyle w:val="11"/>
              <w:rFonts w:ascii="Times New Roman" w:hAnsi="Times New Roman"/>
              <w:color w:val="000000" w:themeColor="text1"/>
              <w14:textFill>
                <w14:solidFill>
                  <w14:schemeClr w14:val="tx1"/>
                </w14:solidFill>
              </w14:textFill>
            </w:rPr>
            <w:t>附则</w:t>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PAGEREF _Toc488784777 \h </w:instrText>
          </w:r>
          <w:r>
            <w:rPr>
              <w:rFonts w:ascii="Times New Roman" w:hAnsi="Times New Roman"/>
              <w:color w:val="000000" w:themeColor="text1"/>
              <w14:textFill>
                <w14:solidFill>
                  <w14:schemeClr w14:val="tx1"/>
                </w14:solidFill>
              </w14:textFill>
            </w:rPr>
            <w:fldChar w:fldCharType="separate"/>
          </w:r>
          <w:r>
            <w:rPr>
              <w:rFonts w:ascii="Times New Roman" w:hAnsi="Times New Roman"/>
              <w:color w:val="000000" w:themeColor="text1"/>
              <w14:textFill>
                <w14:solidFill>
                  <w14:schemeClr w14:val="tx1"/>
                </w14:solidFill>
              </w14:textFill>
            </w:rPr>
            <w:t>11</w: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fldChar w:fldCharType="end"/>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b/>
              <w:bCs/>
              <w:color w:val="000000" w:themeColor="text1"/>
              <w:lang w:val="zh-CN"/>
              <w14:textFill>
                <w14:solidFill>
                  <w14:schemeClr w14:val="tx1"/>
                </w14:solidFill>
              </w14:textFill>
            </w:rPr>
            <w:fldChar w:fldCharType="end"/>
          </w:r>
        </w:p>
      </w:sdtContent>
    </w:sdt>
    <w:p>
      <w:pPr>
        <w:rPr>
          <w:rFonts w:ascii="Times New Roman" w:hAnsi="Times New Roman" w:cs="Times New Roman"/>
          <w:b/>
          <w:color w:val="000000" w:themeColor="text1"/>
          <w:sz w:val="44"/>
          <w:szCs w:val="44"/>
          <w14:textFill>
            <w14:solidFill>
              <w14:schemeClr w14:val="tx1"/>
            </w14:solidFill>
          </w14:textFill>
        </w:rPr>
      </w:pPr>
    </w:p>
    <w:p>
      <w:pPr>
        <w:rPr>
          <w:rFonts w:ascii="Times New Roman" w:hAnsi="Times New Roman" w:cs="Times New Roman"/>
          <w:b/>
          <w:color w:val="000000" w:themeColor="text1"/>
          <w:sz w:val="44"/>
          <w:szCs w:val="44"/>
          <w14:textFill>
            <w14:solidFill>
              <w14:schemeClr w14:val="tx1"/>
            </w14:solidFill>
          </w14:textFill>
        </w:rPr>
      </w:pPr>
    </w:p>
    <w:p>
      <w:pPr>
        <w:pStyle w:val="2"/>
        <w:spacing w:before="0" w:after="0" w:line="240" w:lineRule="auto"/>
        <w:jc w:val="center"/>
        <w:rPr>
          <w:rFonts w:ascii="Times New Roman" w:hAnsi="Times New Roman" w:cs="Times New Roman"/>
          <w:color w:val="000000" w:themeColor="text1"/>
          <w14:textFill>
            <w14:solidFill>
              <w14:schemeClr w14:val="tx1"/>
            </w14:solidFill>
          </w14:textFill>
        </w:rPr>
      </w:pPr>
      <w:bookmarkStart w:id="0" w:name="_Toc488784771"/>
      <w:r>
        <w:rPr>
          <w:rFonts w:ascii="Times New Roman" w:hAnsi="Times New Roman" w:cs="Times New Roman"/>
          <w:color w:val="000000" w:themeColor="text1"/>
          <w14:textFill>
            <w14:solidFill>
              <w14:schemeClr w14:val="tx1"/>
            </w14:solidFill>
          </w14:textFill>
        </w:rPr>
        <w:t>总则</w:t>
      </w:r>
      <w:bookmarkEnd w:id="0"/>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贵州大学MBA联合会（下称“联合会”）是贵州大学全体在读MBA学生组成的自我管理、自我服务、自我教育、自我提升的非营利性组织，是代表全体在读MBA实现校际交流、校企交流、行业交流的主体，是满足学生、雇主、学校各方期望，实现贵州大学培养“知识广博、富有创新思维、勇于开拓、善于沟通合作、能适应市场经济发展需要的复合型高级管理人才”目标的重要非教学平台。</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贵州大学管理学院是联合会的领导单位，贵州大学MBA教育中心是联合会的直接指导单位。</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遵守国家法律、法规，维护社会道德和公共秩序，发扬贵州大学“明德至善，博学笃行”的校训精神，秉承“求真务实、团结互助、开拓创新、乐于奉献”的联合会宗旨，发挥自身优势，实现各类职业背景的同学间的密切联系与合作，为在读MBA学生的自我培养、学校培养目标的实现而努力，为地方经济建设和同学之间的共同发展作贡献！</w:t>
      </w:r>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1" w:name="_Toc488784772"/>
      <w:r>
        <w:rPr>
          <w:rFonts w:ascii="Times New Roman" w:hAnsi="Times New Roman" w:cs="Times New Roman"/>
          <w:color w:val="000000" w:themeColor="text1"/>
          <w14:textFill>
            <w14:solidFill>
              <w14:schemeClr w14:val="tx1"/>
            </w14:solidFill>
          </w14:textFill>
        </w:rPr>
        <w:t>第一章 基本任务</w:t>
      </w:r>
      <w:bookmarkEnd w:id="1"/>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：联合会的基本任务为“两促进，一助力”。即：</w:t>
      </w:r>
    </w:p>
    <w:p>
      <w:pPr>
        <w:numPr>
          <w:ilvl w:val="0"/>
          <w:numId w:val="2"/>
        </w:numPr>
        <w:ind w:firstLine="562"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促进在读MBA学生自我管理、自我服务、自我教育、自我提升。</w:t>
      </w:r>
      <w:r>
        <w:rPr>
          <w:rFonts w:ascii="Times New Roman" w:hAnsi="Times New Roman" w:cs="Times New Roman"/>
          <w:color w:val="000000" w:themeColor="text1"/>
          <w:sz w:val="28"/>
          <w:szCs w:val="28"/>
          <w14:textFill>
            <w14:solidFill>
              <w14:schemeClr w14:val="tx1"/>
            </w14:solidFill>
          </w14:textFill>
        </w:rPr>
        <w:t>为所有在读MBA学生搭建发挥才智和互动平台，充分调动学生参与各类文体活动的热情，团结同学，丰富学生文化，实现在读MBA学生的自我培养、自我成长。</w:t>
      </w:r>
    </w:p>
    <w:p>
      <w:pPr>
        <w:numPr>
          <w:ilvl w:val="0"/>
          <w:numId w:val="2"/>
        </w:numPr>
        <w:ind w:firstLine="562"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促进在读学生与社会各界的互动，建立和维护贵州大学MBA教育品牌。</w:t>
      </w:r>
      <w:r>
        <w:rPr>
          <w:rFonts w:ascii="Times New Roman" w:hAnsi="Times New Roman" w:cs="Times New Roman"/>
          <w:color w:val="000000" w:themeColor="text1"/>
          <w:sz w:val="28"/>
          <w:szCs w:val="28"/>
          <w14:textFill>
            <w14:solidFill>
              <w14:schemeClr w14:val="tx1"/>
            </w14:solidFill>
          </w14:textFill>
        </w:rPr>
        <w:t>通过开展在读学生或校友相关的系列校际交流、校企交流、行业交流活动，让联合会成为贵州大学MBA与国家机关、院校、企事业单位、社会团体等社会各界的沟通桥梁和主体代表。联合会着力促进社会各界对贵州大学MBA教育品牌的了解，扩大贵州大学MBA教育品牌的影响力，让贵州大学MBA教育成为社会经济发展的有力助推器。</w:t>
      </w:r>
    </w:p>
    <w:p>
      <w:pPr>
        <w:numPr>
          <w:ilvl w:val="0"/>
          <w:numId w:val="2"/>
        </w:numPr>
        <w:ind w:firstLine="562"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助力实现贵州大学MBA的培养目标。</w:t>
      </w:r>
      <w:r>
        <w:rPr>
          <w:rFonts w:ascii="Times New Roman" w:hAnsi="Times New Roman" w:cs="Times New Roman"/>
          <w:color w:val="000000" w:themeColor="text1"/>
          <w:sz w:val="28"/>
          <w:szCs w:val="28"/>
          <w14:textFill>
            <w14:solidFill>
              <w14:schemeClr w14:val="tx1"/>
            </w14:solidFill>
          </w14:textFill>
        </w:rPr>
        <w:t>协助MBA教育中心维护校规校纪，倡导良好的校风、学风。通过组织或协助组织各类学术活动、教学实践等活动，助力实现贵州大学培养“知识广博、富有创新思维、勇于开拓、善于沟通合作、能适应市场经济发展需要的复合型高级管理人才”目标。</w:t>
      </w:r>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2" w:name="_Toc488784773"/>
      <w:r>
        <w:rPr>
          <w:rFonts w:ascii="Times New Roman" w:hAnsi="Times New Roman" w:cs="Times New Roman"/>
          <w:color w:val="000000" w:themeColor="text1"/>
          <w14:textFill>
            <w14:solidFill>
              <w14:schemeClr w14:val="tx1"/>
            </w14:solidFill>
          </w14:textFill>
        </w:rPr>
        <w:t>第二章 会员权利和义务</w:t>
      </w:r>
      <w:bookmarkEnd w:id="2"/>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联合会的会员种类为个人会员。</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会员资格：</w:t>
      </w:r>
    </w:p>
    <w:p>
      <w:pPr>
        <w:numPr>
          <w:ilvl w:val="0"/>
          <w:numId w:val="3"/>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凡贵州大学在读MBA学生均为联合会学员；</w:t>
      </w:r>
    </w:p>
    <w:p>
      <w:pPr>
        <w:numPr>
          <w:ilvl w:val="0"/>
          <w:numId w:val="3"/>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凡为联合会做出突出贡献的社会各界人士，承认本章程，经主席团批准，报贵州大学管理学院、贵州大学MBA教育中心同意后，可授予“名誉会员”、“名誉主席”等称号。</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会员的基本权利：</w:t>
      </w:r>
    </w:p>
    <w:p>
      <w:pPr>
        <w:numPr>
          <w:ilvl w:val="0"/>
          <w:numId w:val="4"/>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享有平等的选举权、被选举权；</w:t>
      </w:r>
    </w:p>
    <w:p>
      <w:pPr>
        <w:numPr>
          <w:ilvl w:val="0"/>
          <w:numId w:val="4"/>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有权加入联合会发起的各类组织；</w:t>
      </w:r>
    </w:p>
    <w:p>
      <w:pPr>
        <w:numPr>
          <w:ilvl w:val="0"/>
          <w:numId w:val="4"/>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有权按照规则参加联合会组织的各类活动；</w:t>
      </w:r>
    </w:p>
    <w:p>
      <w:pPr>
        <w:numPr>
          <w:ilvl w:val="0"/>
          <w:numId w:val="4"/>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有权对联合会的各级机构、人员及其工作进行监督、批评和建议；</w:t>
      </w:r>
    </w:p>
    <w:p>
      <w:pPr>
        <w:numPr>
          <w:ilvl w:val="0"/>
          <w:numId w:val="4"/>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有权共享联合会及其下属机构提供的就业等各类信息。</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会员的基本义务：</w:t>
      </w:r>
    </w:p>
    <w:p>
      <w:pPr>
        <w:numPr>
          <w:ilvl w:val="0"/>
          <w:numId w:val="5"/>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遵守国家法律、法规和学校的规章制度；</w:t>
      </w:r>
    </w:p>
    <w:p>
      <w:pPr>
        <w:numPr>
          <w:ilvl w:val="0"/>
          <w:numId w:val="5"/>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遵守联合会章程，执行联合会决议，积极支持和参加联合会及其下属机构组织的各项活动，自觉维护贵州大学MBA联合会形象和声誉；</w:t>
      </w:r>
    </w:p>
    <w:p>
      <w:pPr>
        <w:numPr>
          <w:ilvl w:val="0"/>
          <w:numId w:val="5"/>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为联合会的我发展献计献策，努力完成联合会交办的各项工作；</w:t>
      </w:r>
    </w:p>
    <w:p>
      <w:pPr>
        <w:numPr>
          <w:ilvl w:val="0"/>
          <w:numId w:val="5"/>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积极进行信息沟通，向本会提供信息资料。</w:t>
      </w:r>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3" w:name="_Toc488784774"/>
      <w:r>
        <w:rPr>
          <w:rFonts w:ascii="Times New Roman" w:hAnsi="Times New Roman" w:cs="Times New Roman"/>
          <w:color w:val="000000" w:themeColor="text1"/>
          <w14:textFill>
            <w14:solidFill>
              <w14:schemeClr w14:val="tx1"/>
            </w14:solidFill>
          </w14:textFill>
        </w:rPr>
        <w:t>第三章 机构、职能及负责人的产生、罢免</w:t>
      </w:r>
      <w:bookmarkEnd w:id="3"/>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联合会的最高权力机构是会员代表大会，一般情况下在每学年的第二学期召开（5月份）。会员代表大会的职权是：</w:t>
      </w:r>
    </w:p>
    <w:p>
      <w:pPr>
        <w:numPr>
          <w:ilvl w:val="0"/>
          <w:numId w:val="6"/>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制定和修改联合会章程；</w:t>
      </w:r>
    </w:p>
    <w:p>
      <w:pPr>
        <w:numPr>
          <w:ilvl w:val="0"/>
          <w:numId w:val="6"/>
        </w:numPr>
        <w:ind w:firstLine="560"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选举和罢免主席团成员；</w:t>
      </w:r>
    </w:p>
    <w:p>
      <w:pPr>
        <w:numPr>
          <w:ilvl w:val="0"/>
          <w:numId w:val="6"/>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授权主席团进行联合会的日常运营管理；</w:t>
      </w:r>
    </w:p>
    <w:p>
      <w:pPr>
        <w:numPr>
          <w:ilvl w:val="0"/>
          <w:numId w:val="6"/>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审议主席团的工作报告和财务报告；</w:t>
      </w:r>
    </w:p>
    <w:p>
      <w:pPr>
        <w:numPr>
          <w:ilvl w:val="0"/>
          <w:numId w:val="6"/>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决定联合会的工作方针、计划和重大工作事项；</w:t>
      </w:r>
    </w:p>
    <w:p>
      <w:pPr>
        <w:numPr>
          <w:ilvl w:val="0"/>
          <w:numId w:val="6"/>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决定终止已执行或部分执行的事项。</w:t>
      </w:r>
    </w:p>
    <w:p>
      <w:pPr>
        <w:ind w:left="56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会员代表大会相关决议应由实际出席人数2/3的表决通过。</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会员代表大会每届一年，因特殊情况需提前或延期换届的，须由主席团成员表决通过，报贵州大学MBA教育中心批准通过。但延期换届时间最长不超过一年。</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联合会常设机构组织结构如下：</w:t>
      </w:r>
    </w:p>
    <w:p>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inline distT="0" distB="0" distL="0" distR="0">
            <wp:extent cx="5776595" cy="437769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776965" cy="4378164"/>
                    </a:xfrm>
                    <a:prstGeom prst="rect">
                      <a:avLst/>
                    </a:prstGeom>
                  </pic:spPr>
                </pic:pic>
              </a:graphicData>
            </a:graphic>
          </wp:inline>
        </w:drawing>
      </w:r>
    </w:p>
    <w:p>
      <w:pPr>
        <w:ind w:firstLine="480" w:firstLineChars="200"/>
        <w:rPr>
          <w:rFonts w:ascii="Times New Roman" w:hAnsi="Times New Roman" w:cs="Times New Roman"/>
          <w:color w:val="000000" w:themeColor="text1"/>
          <w:sz w:val="24"/>
          <w:szCs w:val="28"/>
          <w14:textFill>
            <w14:solidFill>
              <w14:schemeClr w14:val="tx1"/>
            </w14:solidFill>
          </w14:textFill>
        </w:rPr>
      </w:pPr>
      <w:r>
        <w:rPr>
          <w:rFonts w:ascii="Times New Roman" w:hAnsi="Times New Roman" w:cs="Times New Roman"/>
          <w:color w:val="000000" w:themeColor="text1"/>
          <w:sz w:val="24"/>
          <w:szCs w:val="28"/>
          <w14:textFill>
            <w14:solidFill>
              <w14:schemeClr w14:val="tx1"/>
            </w14:solidFill>
          </w14:textFill>
        </w:rPr>
        <w:t>符号说明：“——”为直接领导关系；“……”为指导关系。</w:t>
      </w:r>
    </w:p>
    <w:p>
      <w:pPr>
        <w:numPr>
          <w:ilvl w:val="0"/>
          <w:numId w:val="1"/>
        </w:numPr>
        <w:ind w:firstLine="562" w:firstLineChars="200"/>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联合会常设机构的主要职能及人员构成如下：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1、组织顾问委员会。</w:t>
      </w:r>
      <w:r>
        <w:rPr>
          <w:rFonts w:ascii="Times New Roman" w:hAnsi="Times New Roman" w:cs="Times New Roman"/>
          <w:color w:val="000000" w:themeColor="text1"/>
          <w:sz w:val="28"/>
          <w:szCs w:val="28"/>
          <w14:textFill>
            <w14:solidFill>
              <w14:schemeClr w14:val="tx1"/>
            </w14:solidFill>
          </w14:textFill>
        </w:rPr>
        <w:t>由MBA中心老师、各班班主任组成，具体负责学生活动的指导工作，直接指导联合会主席相关工作，尤其将指导分管联合会支部（班级委员会）的副主席工作。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2、学术顾问委员会。</w:t>
      </w:r>
      <w:r>
        <w:rPr>
          <w:rFonts w:ascii="Times New Roman" w:hAnsi="Times New Roman" w:cs="Times New Roman"/>
          <w:color w:val="000000" w:themeColor="text1"/>
          <w:sz w:val="28"/>
          <w:szCs w:val="28"/>
          <w14:textFill>
            <w14:solidFill>
              <w14:schemeClr w14:val="tx1"/>
            </w14:solidFill>
          </w14:textFill>
        </w:rPr>
        <w:t>由相应专业领域具有引导NGO组织发展意愿的专业老师担任，学术顾问委员将协调各专业领域资源，指导各NGO组织承担相关学术讲座、职业发展讲座、论坛、专业性沙龙、文化交流、文体发展等活动。</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3、联合会主席。</w:t>
      </w:r>
      <w:r>
        <w:rPr>
          <w:rFonts w:ascii="Times New Roman" w:hAnsi="Times New Roman" w:cs="Times New Roman"/>
          <w:color w:val="000000" w:themeColor="text1"/>
          <w:sz w:val="28"/>
          <w:szCs w:val="28"/>
          <w14:textFill>
            <w14:solidFill>
              <w14:schemeClr w14:val="tx1"/>
            </w14:solidFill>
          </w14:textFill>
        </w:rPr>
        <w:t>负责MBA联合会全面工作，尤其包括在组织顾问委员会和学术顾问委员会的指导下，直接领导负责分管联合会支部（班级委员会）的班级工作委员会主任/副主任、负责分管职能部门的副主席以及具体负责NGO组织的负责人（会长、秘书长、队长等）等人员及其工作。作为联合会最高领导，主席行使下列职权：</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（一）全面负责联合会领导工作；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（二）经会员代表大会选举出新一届主席团成员后，负责召开主席团工作会议并制定新学年联合会的工作计划，报贵州大学MBA教育中心审批同意后授权各下属机构组织实施；</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（三）提名班级工作委员会、职能部门和NGO组织负责人候补人选以及初次设立的联合会下属机构负责人，经主席团会议通过、报贵州大学MBA教育中心审批同意并公示后确定；</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（四）召集和主持会员代表大会和主席团会议；</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（五）检查督察会员代表大会、主席团决议的执行情况；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（六）代表联合会签署有关重要文件；</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（七）、代表联合会参加有关社会活动。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4、班级工作委员会。由联合会主席兼任主任，副主任具体负责日常管理工作，其职责如下：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（一）做好各类别联合会支部（班级委员会）日常管理工作；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（二）组织年度先进集体、先进个人的评选工作；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（三）指导或组织各联合会支部开展各类学生活动。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联合会支部（班级委员会）是联合会与班级委员会融合的基层组织，班长为联合会支部部长，副班长为联合会支部副部长，各班委为联合会支部委员。</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职能部门。负责班级工作委员会和各类NGO组织开展的各类活动的协助、协调与服务，确保联合会的各类活动有序高效地开展。为保证各职能部门职责的有效履行，确保实现多部门协作，职能部门实行分管副主席责任制和部长负责制的管理模式。具体下设职能部门及相应职责如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5.1秘书处：由分管副主席指导，秘书长具体负责日常管理工作，副秘书长辅助，其职责如下：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（一）负责联合会日常工作，组织实施年度工作计划；</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（二）协调班级工作委员会、各职能部门和NGO组织开展工作；代表联合会对接外部组织的各类工作；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（三）负责建立联合会主席团成员档案并及时更新；</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（四）负责起草有关决议、报告；</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（五）经费收支的财务管理；</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（六）处理其他日常事务。</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5.2宣传事务部：由分管副主席指导，部长具体负责日常工作，副部长辅助，负责涉MBA联合会及MBA中心的各类宣传活动，包括校内外媒体的对接等工作；</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5.3对外交流部：由分管副主席指导，部长具体负责日常工作，副部长辅助，负责组织或协助组织各类校内外活动交流、校企交流活动；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5.4文体发展部：由分管副主席指导，部长具体负责日常工作，副部长辅助，负责组织或协助组织联合会支部（班级委员会）及NGO组织开展各类文体活动；</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5.5学术事务部：由分管副主席指导，部长具体负责日常工作，副部长辅助，负责组织或协助组织各NGO组织开展承担相应领域的学术（职业）活动（讲座、论坛、沙龙）的组织。 </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NGO组织。在学术（专业）顾问委员的指导下，由特定领域具有浓厚兴趣，或是具备特长，或相关爱好、或从事相关领域工作等类别学生组成的NGO组织。包括但不限于足球队等文体类组织，创新创业协会等职业发展类组织，人力资源管理协会、大数据行业协会等专业（职业）领域类组织。各类NGO组织实行组织负责人负责制，主要职责如下：</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（一）与学术事务部协作，承担相应领域的学术（职业）活动（讲座、论坛、沙龙）的组织；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（二）对内与联合会支部（班级委员会）协作，团结不同年级、班级中同职业领域或对专业领域具有浓厚兴趣的同学在NGO组织互动、提升；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（三）对外与对外交流部协作，实现社会资源（行业企业、猎头公司）的引入或合作，为学生的职业发展和专业视野的拓展搭建平台；</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（四）与文体发展部协作，承担校内外相应领域的文体活动的组织；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（五）对内与联合会支部（班级委员会）协作，团结不同年级、班级有相同兴趣爱好的同学在组织互动、提升；</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（六）对外与对外交流部协作，搭建校内外的学生活动交流平台。</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会员代表主要为如下同学：</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1、班级工作委员会：班级工作委员会主任、副主任、联合会支部（班级委员会）部长（班长）及全体支部委员（班委成员）；</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2、联合会职能部门：秘书长、副秘书长、部长、副部长及其它成员；</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3、NGO组织：组织负责人（会长、队长等）及组织负责人副职（副会长、秘书长、副队长等）；</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4、积极参与联合会相关活动的优秀学生代表，由各联合会支部（班级委员会）推选。</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主席团为联合会代表大会的授权运营管理机构，由如下成员组成：</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1、班级工作委员会的主要负责人：主任、副主任、部长（班长）、副部长（副班长）；</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2、职能部门主要负责人：副主席、秘书长、副秘书长、部长、副部长；</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3、NGO组织主要负责人：会长、秘书长、队长等。</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任期及传承安排。联合会及其下属组织机构相关人员每届任期为一年（学年），一般情况下不得延期换届，如遇特殊情况需要延长任期的，须会员代表大会实际出席人数2/3以上的会员代表表决通过，报贵州大学MBA教育中心批准同意后方可任职。为保证联合会工作的传承与带教，联合会主席及秘书长换届卸任后可分别担任荣誉主席及荣誉秘书长半年。</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主席团扩大会议为主席团各机构纳新的竞选大会，一般在每学年的第一个学期（10月份）召开。特殊情况经主席团决定可提前或推迟召开。主席团扩大会议的职权是：</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（一）根据联合会章程，遴选联合会各职能部门新成员；</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（二）竞选产生新一届联合会主席团常务副主席、副部长、NGO组织副职（副会长、秘书长、副队长）等关键副职；</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（三）对新学年的重点工作计划的实施进行部署。</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如班级工作委员会负责人（主任、副主任）、职能部门负责人（副主席、部长）、NGO组织负责人（会长、队长）因个人原因在任期内无法履行各自职责，联合会主席有权组织召开主席团特别会议对相关人员进行罢免，或在联合会内部进行增补相同职责人员，以确保联合会有效运行。</w:t>
      </w:r>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4" w:name="_Toc488784775"/>
      <w:r>
        <w:rPr>
          <w:rFonts w:ascii="Times New Roman" w:hAnsi="Times New Roman" w:cs="Times New Roman"/>
          <w:color w:val="000000" w:themeColor="text1"/>
          <w14:textFill>
            <w14:solidFill>
              <w14:schemeClr w14:val="tx1"/>
            </w14:solidFill>
          </w14:textFill>
        </w:rPr>
        <w:t>第四章 经费管理</w:t>
      </w:r>
      <w:bookmarkEnd w:id="4"/>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经费来源</w:t>
      </w:r>
    </w:p>
    <w:p>
      <w:pPr>
        <w:numPr>
          <w:ilvl w:val="0"/>
          <w:numId w:val="7"/>
        </w:numPr>
        <w:ind w:firstLine="56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联合会相关活动实行预算制。活动方案及预算经贵州大学MBA教育中心审核、贵州大学管理学院审批同意后拨款；</w:t>
      </w:r>
    </w:p>
    <w:p>
      <w:pPr>
        <w:numPr>
          <w:ilvl w:val="0"/>
          <w:numId w:val="7"/>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校友及校友单位捐赠，商业赞助等收入。</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经费管理授权</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联合会秘书处为会员代表大会、主席团授权经费管理机构。实际设置如下两个角色：</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1、“现金管理人”：代表联合会按本章程“经费来源”相关条款获得经费，作为“授权付款人”代表联合会按本章程“经费使用”相关条款对外付出资金；主席团不定期会议的其它范围授权；</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2、“账务记录人”</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各类符合联合会章程及经费使用制度的账务变动记录，“账务记录人”有权了解各笔经费变动明细，有职责按实详细记录；主席团不定期会议的其他范围授权。</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经费使用。</w:t>
      </w:r>
    </w:p>
    <w:p>
      <w:pPr>
        <w:ind w:left="56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1、相关经费可以用于联合会主席批准的下列开支：</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（一）联合会学年工作计划中的各类活动开支；</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（二）主席团工作会议决议的联合会活动支出；</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（三）联合会办公费用及费用存取过程中可能产生的手续费；</w:t>
      </w:r>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财务汇报</w:t>
      </w:r>
    </w:p>
    <w:p>
      <w:pPr>
        <w:ind w:left="56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1、定期汇报：</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相关经费的收支情况由“账务记录人”每季度末向全体同学汇报一次（张贴公告栏的方式），每学年向会员大会（或会员代表大会）汇报一次，接受主席团及所有成员的监督。</w:t>
      </w:r>
    </w:p>
    <w:p>
      <w:pPr>
        <w:numPr>
          <w:ilvl w:val="0"/>
          <w:numId w:val="8"/>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不定期汇报。每次活动后的五个工作日内按定期汇报的形式和对象汇报。</w:t>
      </w:r>
    </w:p>
    <w:p>
      <w:pPr>
        <w:widowControl w:val="0"/>
        <w:numPr>
          <w:numId w:val="0"/>
        </w:numPr>
        <w:jc w:val="both"/>
        <w:rPr>
          <w:rFonts w:ascii="Times New Roman" w:hAnsi="Times New Roman" w:cs="Times New Roman"/>
          <w:color w:val="000000" w:themeColor="text1"/>
          <w:sz w:val="28"/>
          <w:szCs w:val="28"/>
          <w14:textFill>
            <w14:solidFill>
              <w14:schemeClr w14:val="tx1"/>
            </w14:solidFill>
          </w14:textFill>
        </w:rPr>
      </w:pPr>
    </w:p>
    <w:p>
      <w:pPr>
        <w:widowControl w:val="0"/>
        <w:numPr>
          <w:numId w:val="0"/>
        </w:numPr>
        <w:jc w:val="both"/>
        <w:rPr>
          <w:rFonts w:ascii="Times New Roman" w:hAnsi="Times New Roman" w:cs="Times New Roman"/>
          <w:color w:val="000000" w:themeColor="text1"/>
          <w:sz w:val="28"/>
          <w:szCs w:val="28"/>
          <w14:textFill>
            <w14:solidFill>
              <w14:schemeClr w14:val="tx1"/>
            </w14:solidFill>
          </w14:textFill>
        </w:rPr>
      </w:pPr>
    </w:p>
    <w:p>
      <w:pPr>
        <w:widowControl w:val="0"/>
        <w:numPr>
          <w:numId w:val="0"/>
        </w:numPr>
        <w:jc w:val="both"/>
        <w:rPr>
          <w:rFonts w:ascii="Times New Roman" w:hAnsi="Times New Roman" w:cs="Times New Roman"/>
          <w:color w:val="000000" w:themeColor="text1"/>
          <w:sz w:val="28"/>
          <w:szCs w:val="28"/>
          <w14:textFill>
            <w14:solidFill>
              <w14:schemeClr w14:val="tx1"/>
            </w14:solidFill>
          </w14:textFill>
        </w:rPr>
      </w:pPr>
    </w:p>
    <w:p>
      <w:pPr>
        <w:widowControl w:val="0"/>
        <w:numPr>
          <w:numId w:val="0"/>
        </w:numPr>
        <w:jc w:val="both"/>
        <w:rPr>
          <w:rFonts w:ascii="Times New Roman" w:hAnsi="Times New Roman" w:cs="Times New Roman"/>
          <w:color w:val="000000" w:themeColor="text1"/>
          <w:sz w:val="28"/>
          <w:szCs w:val="28"/>
          <w14:textFill>
            <w14:solidFill>
              <w14:schemeClr w14:val="tx1"/>
            </w14:solidFill>
          </w14:textFill>
        </w:rPr>
      </w:pPr>
    </w:p>
    <w:p>
      <w:pPr>
        <w:widowControl w:val="0"/>
        <w:numPr>
          <w:numId w:val="0"/>
        </w:numPr>
        <w:jc w:val="both"/>
        <w:rPr>
          <w:rFonts w:ascii="Times New Roman" w:hAnsi="Times New Roman" w:cs="Times New Roman"/>
          <w:color w:val="000000" w:themeColor="text1"/>
          <w:sz w:val="28"/>
          <w:szCs w:val="28"/>
          <w14:textFill>
            <w14:solidFill>
              <w14:schemeClr w14:val="tx1"/>
            </w14:solidFill>
          </w14:textFill>
        </w:rPr>
      </w:pPr>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5" w:name="_Toc488784776"/>
      <w:r>
        <w:rPr>
          <w:rFonts w:ascii="Times New Roman" w:hAnsi="Times New Roman" w:cs="Times New Roman"/>
          <w:color w:val="000000" w:themeColor="text1"/>
          <w14:textFill>
            <w14:solidFill>
              <w14:schemeClr w14:val="tx1"/>
            </w14:solidFill>
          </w14:textFill>
        </w:rPr>
        <w:t>第五章 会标</w:t>
      </w:r>
      <w:bookmarkEnd w:id="5"/>
    </w:p>
    <w:p>
      <w:pPr>
        <w:numPr>
          <w:ilvl w:val="0"/>
          <w:numId w:val="1"/>
        </w:num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会标图案及其含义</w:t>
      </w:r>
    </w:p>
    <w:tbl>
      <w:tblPr>
        <w:tblStyle w:val="1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06"/>
        <w:gridCol w:w="4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06" w:type="dxa"/>
            <w:vAlign w:val="center"/>
          </w:tcPr>
          <w:p>
            <w:pPr>
              <w:jc w:val="center"/>
              <w:rPr>
                <w:rFonts w:hint="eastAsia"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会标</w:t>
            </w:r>
          </w:p>
        </w:tc>
        <w:tc>
          <w:tcPr>
            <w:tcW w:w="4954" w:type="dxa"/>
            <w:vAlign w:val="center"/>
          </w:tcPr>
          <w:p>
            <w:pPr>
              <w:jc w:val="center"/>
              <w:rPr>
                <w:rFonts w:hint="eastAsia"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会标含义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06" w:type="dxa"/>
            <w:vAlign w:val="center"/>
          </w:tcPr>
          <w:p>
            <w:pPr>
              <w:rPr>
                <w:rFonts w:hint="eastAsia"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drawing>
                <wp:anchor distT="0" distB="0" distL="114300" distR="114300" simplePos="0" relativeHeight="251658240" behindDoc="0" locked="0" layoutInCell="1" allowOverlap="1">
                  <wp:simplePos x="0" y="0"/>
                  <wp:positionH relativeFrom="margin">
                    <wp:posOffset>1270</wp:posOffset>
                  </wp:positionH>
                  <wp:positionV relativeFrom="margin">
                    <wp:posOffset>26035</wp:posOffset>
                  </wp:positionV>
                  <wp:extent cx="2360295" cy="2360295"/>
                  <wp:effectExtent l="0" t="0" r="1905" b="1905"/>
                  <wp:wrapSquare wrapText="bothSides"/>
                  <wp:docPr id="2" name="图片 2" descr="C:\Users\FRANKIE\Downloads\贵州大学MBA联合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FRANKIE\Downloads\贵州大学MBA联合会.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60428" cy="2360428"/>
                          </a:xfrm>
                          <a:prstGeom prst="rect">
                            <a:avLst/>
                          </a:prstGeom>
                          <a:noFill/>
                          <a:ln>
                            <a:noFill/>
                          </a:ln>
                        </pic:spPr>
                      </pic:pic>
                    </a:graphicData>
                  </a:graphic>
                </wp:anchor>
              </w:drawing>
            </w:r>
          </w:p>
        </w:tc>
        <w:tc>
          <w:tcPr>
            <w:tcW w:w="4954" w:type="dxa"/>
            <w:vAlign w:val="center"/>
          </w:tcPr>
          <w:p>
            <w:pPr>
              <w:rPr>
                <w:rFonts w:hint="eastAsia"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外形采用现时国际教育、文化机构流行的圆形外形，以求联合会在国际性、融合性、交流性质上与国际同类机构接轨。标志的核心部分以“联合”的英文缩写UN进行艺术融合，突出学术交融的中心主题。色彩规划上，文字及外形线框以黑色喻意学术的严肃及严谨，而“海蓝”色的MBA英文则喻意了MBA勇往直前的精神及海洋般的未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06" w:type="dxa"/>
            <w:vAlign w:val="center"/>
          </w:tcPr>
          <w:p>
            <w:pPr>
              <w:rPr>
                <w:rFonts w:ascii="Times New Roman" w:hAnsi="Times New Roman" w:cs="Times New Roman"/>
                <w:color w:val="000000" w:themeColor="text1"/>
                <w:sz w:val="28"/>
                <w:szCs w:val="28"/>
                <w14:textFill>
                  <w14:solidFill>
                    <w14:schemeClr w14:val="tx1"/>
                  </w14:solidFill>
                </w14:textFill>
              </w:rPr>
            </w:pPr>
          </w:p>
        </w:tc>
        <w:tc>
          <w:tcPr>
            <w:tcW w:w="4954" w:type="dxa"/>
            <w:vAlign w:val="center"/>
          </w:tcPr>
          <w:p>
            <w:pPr>
              <w:rPr>
                <w:rFonts w:ascii="Times New Roman" w:hAnsi="Times New Roman" w:cs="Times New Roman"/>
                <w:color w:val="000000" w:themeColor="text1"/>
                <w:sz w:val="28"/>
                <w:szCs w:val="28"/>
                <w14:textFill>
                  <w14:solidFill>
                    <w14:schemeClr w14:val="tx1"/>
                  </w14:solidFill>
                </w14:textFill>
              </w:rPr>
            </w:pPr>
          </w:p>
        </w:tc>
      </w:tr>
    </w:tbl>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bookmarkStart w:id="6" w:name="_Toc488784777"/>
    </w:p>
    <w:p>
      <w:pPr>
        <w:pStyle w:val="2"/>
        <w:spacing w:before="0" w:after="0" w:line="240" w:lineRule="auto"/>
        <w:ind w:firstLine="883" w:firstLineChars="20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附则</w:t>
      </w:r>
      <w:bookmarkEnd w:id="6"/>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第二十八条 本章程修改权属于贵州大学MBA联合会，解释权属于联合会主席团。</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第二十九条 本章程自2017年07月贵州大学MBA教育中心批准之日起生效。</w:t>
      </w:r>
      <w:bookmarkStart w:id="7" w:name="_GoBack"/>
      <w:bookmarkEnd w:id="7"/>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Calibri Light">
    <w:altName w:val="Lucida Sans Unicode"/>
    <w:panose1 w:val="020F0302020204030204"/>
    <w:charset w:val="00"/>
    <w:family w:val="swiss"/>
    <w:pitch w:val="default"/>
    <w:sig w:usb0="00000000" w:usb1="00000000" w:usb2="00000009" w:usb3="00000000" w:csb0="000001FF"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100"/>
    <w:multiLevelType w:val="singleLevel"/>
    <w:tmpl w:val="076C6100"/>
    <w:lvl w:ilvl="0" w:tentative="0">
      <w:start w:val="1"/>
      <w:numFmt w:val="decimal"/>
      <w:suff w:val="nothing"/>
      <w:lvlText w:val="%1、"/>
      <w:lvlJc w:val="left"/>
    </w:lvl>
  </w:abstractNum>
  <w:abstractNum w:abstractNumId="1">
    <w:nsid w:val="59365ABF"/>
    <w:multiLevelType w:val="singleLevel"/>
    <w:tmpl w:val="59365ABF"/>
    <w:lvl w:ilvl="0" w:tentative="0">
      <w:start w:val="1"/>
      <w:numFmt w:val="chineseCounting"/>
      <w:suff w:val="space"/>
      <w:lvlText w:val="第%1条"/>
      <w:lvlJc w:val="left"/>
    </w:lvl>
  </w:abstractNum>
  <w:abstractNum w:abstractNumId="2">
    <w:nsid w:val="59365B84"/>
    <w:multiLevelType w:val="singleLevel"/>
    <w:tmpl w:val="59365B84"/>
    <w:lvl w:ilvl="0" w:tentative="0">
      <w:start w:val="1"/>
      <w:numFmt w:val="decimal"/>
      <w:suff w:val="nothing"/>
      <w:lvlText w:val="%1、"/>
      <w:lvlJc w:val="left"/>
    </w:lvl>
  </w:abstractNum>
  <w:abstractNum w:abstractNumId="3">
    <w:nsid w:val="593662E5"/>
    <w:multiLevelType w:val="singleLevel"/>
    <w:tmpl w:val="593662E5"/>
    <w:lvl w:ilvl="0" w:tentative="0">
      <w:start w:val="1"/>
      <w:numFmt w:val="decimal"/>
      <w:suff w:val="nothing"/>
      <w:lvlText w:val="%1、"/>
      <w:lvlJc w:val="left"/>
    </w:lvl>
  </w:abstractNum>
  <w:abstractNum w:abstractNumId="4">
    <w:nsid w:val="593664AB"/>
    <w:multiLevelType w:val="singleLevel"/>
    <w:tmpl w:val="593664AB"/>
    <w:lvl w:ilvl="0" w:tentative="0">
      <w:start w:val="1"/>
      <w:numFmt w:val="decimal"/>
      <w:suff w:val="nothing"/>
      <w:lvlText w:val="%1、"/>
      <w:lvlJc w:val="left"/>
    </w:lvl>
  </w:abstractNum>
  <w:abstractNum w:abstractNumId="5">
    <w:nsid w:val="593666FB"/>
    <w:multiLevelType w:val="singleLevel"/>
    <w:tmpl w:val="593666FB"/>
    <w:lvl w:ilvl="0" w:tentative="0">
      <w:start w:val="1"/>
      <w:numFmt w:val="decimal"/>
      <w:suff w:val="nothing"/>
      <w:lvlText w:val="%1、"/>
      <w:lvlJc w:val="left"/>
    </w:lvl>
  </w:abstractNum>
  <w:abstractNum w:abstractNumId="6">
    <w:nsid w:val="59375679"/>
    <w:multiLevelType w:val="singleLevel"/>
    <w:tmpl w:val="59375679"/>
    <w:lvl w:ilvl="0" w:tentative="0">
      <w:start w:val="1"/>
      <w:numFmt w:val="decimal"/>
      <w:suff w:val="nothing"/>
      <w:lvlText w:val="%1、"/>
      <w:lvlJc w:val="left"/>
    </w:lvl>
  </w:abstractNum>
  <w:abstractNum w:abstractNumId="7">
    <w:nsid w:val="597AC69E"/>
    <w:multiLevelType w:val="singleLevel"/>
    <w:tmpl w:val="597AC69E"/>
    <w:lvl w:ilvl="0" w:tentative="0">
      <w:start w:val="2"/>
      <w:numFmt w:val="decimal"/>
      <w:suff w:val="nothing"/>
      <w:lvlText w:val="%1、"/>
      <w:lvlJc w:val="left"/>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6610C4"/>
    <w:rsid w:val="000046E9"/>
    <w:rsid w:val="0002577A"/>
    <w:rsid w:val="00080F93"/>
    <w:rsid w:val="00092410"/>
    <w:rsid w:val="000A4BF9"/>
    <w:rsid w:val="000A565B"/>
    <w:rsid w:val="000F39BF"/>
    <w:rsid w:val="001110B8"/>
    <w:rsid w:val="00180FFB"/>
    <w:rsid w:val="001B4C96"/>
    <w:rsid w:val="001C596F"/>
    <w:rsid w:val="001D59DF"/>
    <w:rsid w:val="0021483B"/>
    <w:rsid w:val="0028706B"/>
    <w:rsid w:val="002E26D2"/>
    <w:rsid w:val="003412EF"/>
    <w:rsid w:val="00376FF1"/>
    <w:rsid w:val="00453B18"/>
    <w:rsid w:val="00487EC9"/>
    <w:rsid w:val="004B6342"/>
    <w:rsid w:val="004B7F32"/>
    <w:rsid w:val="004C3C46"/>
    <w:rsid w:val="004C65E2"/>
    <w:rsid w:val="00552EF7"/>
    <w:rsid w:val="005B3065"/>
    <w:rsid w:val="005F2751"/>
    <w:rsid w:val="00682E29"/>
    <w:rsid w:val="006C3579"/>
    <w:rsid w:val="00700E21"/>
    <w:rsid w:val="0070399D"/>
    <w:rsid w:val="00711C5C"/>
    <w:rsid w:val="00751E8B"/>
    <w:rsid w:val="00775616"/>
    <w:rsid w:val="00777BA8"/>
    <w:rsid w:val="007F18A9"/>
    <w:rsid w:val="00823619"/>
    <w:rsid w:val="00860279"/>
    <w:rsid w:val="008635B6"/>
    <w:rsid w:val="008F73B1"/>
    <w:rsid w:val="00944732"/>
    <w:rsid w:val="009B0154"/>
    <w:rsid w:val="009C110A"/>
    <w:rsid w:val="009D76E0"/>
    <w:rsid w:val="00A137D2"/>
    <w:rsid w:val="00A15E54"/>
    <w:rsid w:val="00A25677"/>
    <w:rsid w:val="00A3408C"/>
    <w:rsid w:val="00A44809"/>
    <w:rsid w:val="00A62C5C"/>
    <w:rsid w:val="00A96A14"/>
    <w:rsid w:val="00AA4ACE"/>
    <w:rsid w:val="00AB5C05"/>
    <w:rsid w:val="00AB66F6"/>
    <w:rsid w:val="00AB712B"/>
    <w:rsid w:val="00AC6A47"/>
    <w:rsid w:val="00AF0EED"/>
    <w:rsid w:val="00B03024"/>
    <w:rsid w:val="00B2248C"/>
    <w:rsid w:val="00B773E2"/>
    <w:rsid w:val="00B81422"/>
    <w:rsid w:val="00B935C0"/>
    <w:rsid w:val="00BC29CD"/>
    <w:rsid w:val="00BD7C0F"/>
    <w:rsid w:val="00BF4491"/>
    <w:rsid w:val="00C04352"/>
    <w:rsid w:val="00C141E9"/>
    <w:rsid w:val="00C40F12"/>
    <w:rsid w:val="00C4544A"/>
    <w:rsid w:val="00C506B1"/>
    <w:rsid w:val="00C971CD"/>
    <w:rsid w:val="00CB0569"/>
    <w:rsid w:val="00D47D7E"/>
    <w:rsid w:val="00D65FFB"/>
    <w:rsid w:val="00D90628"/>
    <w:rsid w:val="00D925AB"/>
    <w:rsid w:val="00DA0B3F"/>
    <w:rsid w:val="00E07F48"/>
    <w:rsid w:val="00E22536"/>
    <w:rsid w:val="00E437F7"/>
    <w:rsid w:val="00EE1892"/>
    <w:rsid w:val="00F41078"/>
    <w:rsid w:val="00FB0DAE"/>
    <w:rsid w:val="00FB25C9"/>
    <w:rsid w:val="00FC14EB"/>
    <w:rsid w:val="1A6610C4"/>
    <w:rsid w:val="1B445AF1"/>
    <w:rsid w:val="27DA7B70"/>
    <w:rsid w:val="3C575B16"/>
    <w:rsid w:val="4A4F71D8"/>
    <w:rsid w:val="51BC379B"/>
    <w:rsid w:val="55E32980"/>
    <w:rsid w:val="5BED7DED"/>
    <w:rsid w:val="76855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toc 3"/>
    <w:basedOn w:val="1"/>
    <w:next w:val="1"/>
    <w:unhideWhenUsed/>
    <w:uiPriority w:val="39"/>
    <w:pPr>
      <w:widowControl/>
      <w:spacing w:after="100" w:line="259" w:lineRule="auto"/>
      <w:ind w:left="440"/>
      <w:jc w:val="left"/>
    </w:pPr>
    <w:rPr>
      <w:rFonts w:cs="Times New Roman"/>
      <w:kern w:val="0"/>
      <w:sz w:val="22"/>
      <w:szCs w:val="22"/>
    </w:rPr>
  </w:style>
  <w:style w:type="paragraph" w:styleId="5">
    <w:name w:val="Balloon Text"/>
    <w:basedOn w:val="1"/>
    <w:link w:val="14"/>
    <w:qFormat/>
    <w:uiPriority w:val="0"/>
    <w:rPr>
      <w:sz w:val="18"/>
      <w:szCs w:val="18"/>
    </w:rPr>
  </w:style>
  <w:style w:type="paragraph" w:styleId="6">
    <w:name w:val="footer"/>
    <w:basedOn w:val="1"/>
    <w:link w:val="16"/>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uiPriority w:val="39"/>
    <w:pPr>
      <w:widowControl/>
      <w:spacing w:after="100" w:line="259" w:lineRule="auto"/>
      <w:jc w:val="left"/>
    </w:pPr>
    <w:rPr>
      <w:rFonts w:cs="Times New Roman"/>
      <w:kern w:val="0"/>
      <w:sz w:val="22"/>
      <w:szCs w:val="22"/>
    </w:rPr>
  </w:style>
  <w:style w:type="paragraph" w:styleId="9">
    <w:name w:val="toc 2"/>
    <w:basedOn w:val="1"/>
    <w:next w:val="1"/>
    <w:unhideWhenUsed/>
    <w:uiPriority w:val="39"/>
    <w:pPr>
      <w:widowControl/>
      <w:spacing w:after="100" w:line="259" w:lineRule="auto"/>
      <w:ind w:left="220"/>
      <w:jc w:val="left"/>
    </w:pPr>
    <w:rPr>
      <w:rFonts w:cs="Times New Roman"/>
      <w:kern w:val="0"/>
      <w:sz w:val="22"/>
      <w:szCs w:val="22"/>
    </w:rPr>
  </w:style>
  <w:style w:type="character" w:styleId="11">
    <w:name w:val="Hyperlink"/>
    <w:basedOn w:val="10"/>
    <w:unhideWhenUsed/>
    <w:uiPriority w:val="99"/>
    <w:rPr>
      <w:color w:val="0563C1" w:themeColor="hyperlink"/>
      <w:u w:val="single"/>
      <w14:textFill>
        <w14:solidFill>
          <w14:schemeClr w14:val="hlink"/>
        </w14:solidFill>
      </w14:textFill>
    </w:rPr>
  </w:style>
  <w:style w:type="table" w:styleId="13">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批注框文本 Char"/>
    <w:basedOn w:val="10"/>
    <w:link w:val="5"/>
    <w:qFormat/>
    <w:uiPriority w:val="0"/>
    <w:rPr>
      <w:kern w:val="2"/>
      <w:sz w:val="18"/>
      <w:szCs w:val="18"/>
    </w:rPr>
  </w:style>
  <w:style w:type="character" w:customStyle="1" w:styleId="15">
    <w:name w:val="页眉 Char"/>
    <w:basedOn w:val="10"/>
    <w:link w:val="7"/>
    <w:uiPriority w:val="0"/>
    <w:rPr>
      <w:kern w:val="2"/>
      <w:sz w:val="18"/>
      <w:szCs w:val="18"/>
    </w:rPr>
  </w:style>
  <w:style w:type="character" w:customStyle="1" w:styleId="16">
    <w:name w:val="页脚 Char"/>
    <w:basedOn w:val="10"/>
    <w:link w:val="6"/>
    <w:uiPriority w:val="0"/>
    <w:rPr>
      <w:kern w:val="2"/>
      <w:sz w:val="18"/>
      <w:szCs w:val="18"/>
    </w:rPr>
  </w:style>
  <w:style w:type="character" w:customStyle="1" w:styleId="17">
    <w:name w:val="标题 1 Char"/>
    <w:basedOn w:val="10"/>
    <w:link w:val="2"/>
    <w:uiPriority w:val="0"/>
    <w:rPr>
      <w:b/>
      <w:bCs/>
      <w:kern w:val="44"/>
      <w:sz w:val="44"/>
      <w:szCs w:val="44"/>
    </w:rPr>
  </w:style>
  <w:style w:type="paragraph" w:customStyle="1" w:styleId="18">
    <w:name w:val="List Paragraph"/>
    <w:basedOn w:val="1"/>
    <w:qFormat/>
    <w:uiPriority w:val="34"/>
    <w:pPr>
      <w:ind w:firstLine="420" w:firstLineChars="200"/>
    </w:pPr>
    <w:rPr>
      <w:szCs w:val="22"/>
    </w:rPr>
  </w:style>
  <w:style w:type="character" w:customStyle="1" w:styleId="19">
    <w:name w:val="标题 2 Char"/>
    <w:basedOn w:val="10"/>
    <w:link w:val="3"/>
    <w:uiPriority w:val="9"/>
    <w:rPr>
      <w:rFonts w:asciiTheme="majorHAnsi" w:hAnsiTheme="majorHAnsi" w:eastAsiaTheme="majorEastAsia" w:cstheme="majorBidi"/>
      <w:b/>
      <w:bCs/>
      <w:kern w:val="2"/>
      <w:sz w:val="32"/>
      <w:szCs w:val="32"/>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7A8B8-33AA-48C4-8E89-3398EA1908A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840</Words>
  <Characters>4792</Characters>
  <Lines>39</Lines>
  <Paragraphs>11</Paragraphs>
  <TotalTime>0</TotalTime>
  <ScaleCrop>false</ScaleCrop>
  <LinksUpToDate>false</LinksUpToDate>
  <CharactersWithSpaces>5621</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2017-07-25T13:54:00Z</dcterms:created>
  <dc:creator>赖芳林-FRANKIE LAI</dc:creator>
  <cp:lastModifiedBy>Administrator</cp:lastModifiedBy>
  <cp:lastPrinted>2017-07-24T14:07:00Z</cp:lastPrinted>
  <dcterms:modified xsi:type="dcterms:W3CDTF">2017-07-28T05:04:26Z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